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685BB8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5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10736A">
        <w:rPr>
          <w:rFonts w:ascii="Arial" w:hAnsi="Arial" w:cs="Arial"/>
          <w:sz w:val="22"/>
          <w:szCs w:val="22"/>
          <w:lang w:val="en-GB"/>
        </w:rPr>
        <w:t>9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685BB8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Pr="00685BB8">
        <w:rPr>
          <w:rFonts w:ascii="Arial" w:hAnsi="Arial" w:cs="Arial"/>
          <w:b/>
          <w:sz w:val="22"/>
          <w:szCs w:val="22"/>
          <w:lang w:val="en-GB"/>
        </w:rPr>
        <w:t xml:space="preserve"> to Launch European Sales of Ultra Lightweight and Fuel-Efficient “</w:t>
      </w:r>
      <w:proofErr w:type="spellStart"/>
      <w:r w:rsidRPr="00685BB8">
        <w:rPr>
          <w:rFonts w:ascii="Arial" w:hAnsi="Arial" w:cs="Arial"/>
          <w:b/>
          <w:sz w:val="22"/>
          <w:szCs w:val="22"/>
          <w:lang w:val="en-GB"/>
        </w:rPr>
        <w:t>BluEarth</w:t>
      </w:r>
      <w:proofErr w:type="spellEnd"/>
      <w:r w:rsidRPr="00685BB8">
        <w:rPr>
          <w:rFonts w:ascii="Arial" w:hAnsi="Arial" w:cs="Arial"/>
          <w:b/>
          <w:sz w:val="22"/>
          <w:szCs w:val="22"/>
          <w:lang w:val="en-GB"/>
        </w:rPr>
        <w:t>-air EF21”</w:t>
      </w:r>
    </w:p>
    <w:p w:rsidR="00685BB8" w:rsidRPr="00685BB8" w:rsidRDefault="00685BB8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685BB8" w:rsidP="00685BB8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685BB8">
        <w:rPr>
          <w:rFonts w:ascii="Arial" w:hAnsi="Arial" w:cs="Arial"/>
          <w:sz w:val="22"/>
          <w:szCs w:val="22"/>
          <w:lang w:val="en-GB"/>
        </w:rPr>
        <w:t xml:space="preserve"> announced today that it will begin selling its “</w:t>
      </w:r>
      <w:proofErr w:type="spellStart"/>
      <w:r w:rsidRPr="00685BB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685BB8">
        <w:rPr>
          <w:rFonts w:ascii="Arial" w:hAnsi="Arial" w:cs="Arial"/>
          <w:sz w:val="22"/>
          <w:szCs w:val="22"/>
          <w:lang w:val="en-GB"/>
        </w:rPr>
        <w:t>-air EF21” in Europe on a limited-basis from this spring. The “</w:t>
      </w:r>
      <w:proofErr w:type="spellStart"/>
      <w:r w:rsidRPr="00685BB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685BB8">
        <w:rPr>
          <w:rFonts w:ascii="Arial" w:hAnsi="Arial" w:cs="Arial"/>
          <w:sz w:val="22"/>
          <w:szCs w:val="22"/>
          <w:lang w:val="en-GB"/>
        </w:rPr>
        <w:t>-air EF21” uses the most advanced technologies to achieve a new lightweight design that enhances its environmentally sound features.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 xml:space="preserve">re will be available in only one size, 205/55R16 91V. </w:t>
      </w:r>
      <w:r w:rsidRPr="00685BB8">
        <w:rPr>
          <w:rFonts w:ascii="Arial" w:hAnsi="Arial" w:cs="Arial"/>
          <w:sz w:val="22"/>
          <w:szCs w:val="22"/>
          <w:lang w:val="en-GB"/>
        </w:rPr>
        <w:br/>
      </w:r>
      <w:r w:rsidRPr="00685BB8">
        <w:rPr>
          <w:rFonts w:ascii="Arial" w:hAnsi="Arial" w:cs="Arial"/>
          <w:sz w:val="22"/>
          <w:szCs w:val="22"/>
          <w:lang w:val="en-GB"/>
        </w:rPr>
        <w:br/>
        <w:t>Seeking to create a more environmentally friendly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 xml:space="preserve">re,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685BB8">
        <w:rPr>
          <w:rFonts w:ascii="Arial" w:hAnsi="Arial" w:cs="Arial"/>
          <w:sz w:val="22"/>
          <w:szCs w:val="22"/>
          <w:lang w:val="en-GB"/>
        </w:rPr>
        <w:t xml:space="preserve"> has employed its latest design technique to achieve a lighter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>re that conserves resources by using less material and improves fuel efficiency by contributing to lighter overall vehicle weight. In addition to being light, the “</w:t>
      </w:r>
      <w:proofErr w:type="spellStart"/>
      <w:r w:rsidRPr="00685BB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685BB8">
        <w:rPr>
          <w:rFonts w:ascii="Arial" w:hAnsi="Arial" w:cs="Arial"/>
          <w:sz w:val="22"/>
          <w:szCs w:val="22"/>
          <w:lang w:val="en-GB"/>
        </w:rPr>
        <w:t>-air EF21” has achieved a thin yet highly rigid structure and a weight reduction of about 25% in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>re’s mass. *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>re also achieves excellent wet and fuel-efficient performance from the use of a newly developed special compound and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685BB8">
        <w:rPr>
          <w:rFonts w:ascii="Arial" w:hAnsi="Arial" w:cs="Arial"/>
          <w:sz w:val="22"/>
          <w:szCs w:val="22"/>
          <w:lang w:val="en-GB"/>
        </w:rPr>
        <w:t>’s state-of-the-art rubber mixing technology, Advanced Reaction Technology in Mixing. As a result, the “</w:t>
      </w:r>
      <w:proofErr w:type="spellStart"/>
      <w:r w:rsidRPr="00685BB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685BB8">
        <w:rPr>
          <w:rFonts w:ascii="Arial" w:hAnsi="Arial" w:cs="Arial"/>
          <w:sz w:val="22"/>
          <w:szCs w:val="22"/>
          <w:lang w:val="en-GB"/>
        </w:rPr>
        <w:t>-air EF21” has received the European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 xml:space="preserve">re-grading system’s highest “A” grades for both rolling resistance and wet grip performance. </w:t>
      </w:r>
      <w:r w:rsidRPr="00685BB8">
        <w:rPr>
          <w:rFonts w:ascii="Arial" w:hAnsi="Arial" w:cs="Arial"/>
          <w:sz w:val="22"/>
          <w:szCs w:val="22"/>
          <w:lang w:val="en-GB"/>
        </w:rPr>
        <w:br/>
      </w:r>
      <w:r w:rsidRPr="00685BB8">
        <w:rPr>
          <w:rFonts w:ascii="Arial" w:hAnsi="Arial" w:cs="Arial"/>
          <w:sz w:val="22"/>
          <w:szCs w:val="22"/>
          <w:lang w:val="en-GB"/>
        </w:rPr>
        <w:br/>
      </w:r>
      <w:proofErr w:type="spellStart"/>
      <w:r w:rsidRPr="00685BB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685BB8">
        <w:rPr>
          <w:rFonts w:ascii="Arial" w:hAnsi="Arial" w:cs="Arial"/>
          <w:sz w:val="22"/>
          <w:szCs w:val="22"/>
          <w:lang w:val="en-GB"/>
        </w:rPr>
        <w:t xml:space="preserve"> is a YOKOHAMA global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>re brand based on the concept of being “environmental, human, and socially friendly”. The brand’s diverse line</w:t>
      </w:r>
      <w:r>
        <w:rPr>
          <w:rFonts w:ascii="Arial" w:hAnsi="Arial" w:cs="Arial"/>
          <w:sz w:val="22"/>
          <w:szCs w:val="22"/>
          <w:lang w:val="en-GB"/>
        </w:rPr>
        <w:t>-</w:t>
      </w:r>
      <w:r w:rsidRPr="00685BB8">
        <w:rPr>
          <w:rFonts w:ascii="Arial" w:hAnsi="Arial" w:cs="Arial"/>
          <w:sz w:val="22"/>
          <w:szCs w:val="22"/>
          <w:lang w:val="en-GB"/>
        </w:rPr>
        <w:t>up also includes the high-performance, fuel-efficient “</w:t>
      </w:r>
      <w:proofErr w:type="spellStart"/>
      <w:r w:rsidRPr="00685BB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685BB8">
        <w:rPr>
          <w:rFonts w:ascii="Arial" w:hAnsi="Arial" w:cs="Arial"/>
          <w:sz w:val="22"/>
          <w:szCs w:val="22"/>
          <w:lang w:val="en-GB"/>
        </w:rPr>
        <w:t>-A”; the fuel-efficient “</w:t>
      </w:r>
      <w:proofErr w:type="spellStart"/>
      <w:r w:rsidRPr="00685BB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685BB8">
        <w:rPr>
          <w:rFonts w:ascii="Arial" w:hAnsi="Arial" w:cs="Arial"/>
          <w:sz w:val="22"/>
          <w:szCs w:val="22"/>
          <w:lang w:val="en-GB"/>
        </w:rPr>
        <w:t xml:space="preserve"> RV-02” for minivans and crossover SUVs; and the “</w:t>
      </w:r>
      <w:proofErr w:type="spellStart"/>
      <w:r w:rsidRPr="00685BB8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685BB8">
        <w:rPr>
          <w:rFonts w:ascii="Arial" w:hAnsi="Arial" w:cs="Arial"/>
          <w:sz w:val="22"/>
          <w:szCs w:val="22"/>
          <w:lang w:val="en-GB"/>
        </w:rPr>
        <w:t>-Es ES32”, a fuel-efficient standard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 xml:space="preserve">re. </w:t>
      </w:r>
      <w:r w:rsidRPr="00685BB8">
        <w:rPr>
          <w:rFonts w:ascii="Arial" w:hAnsi="Arial" w:cs="Arial"/>
          <w:sz w:val="22"/>
          <w:szCs w:val="22"/>
          <w:lang w:val="en-GB"/>
        </w:rPr>
        <w:br/>
      </w:r>
      <w:r w:rsidRPr="00685BB8">
        <w:rPr>
          <w:rFonts w:ascii="Arial" w:hAnsi="Arial" w:cs="Arial"/>
          <w:sz w:val="22"/>
          <w:szCs w:val="22"/>
          <w:lang w:val="en-GB"/>
        </w:rPr>
        <w:br/>
        <w:t>* Compared with the “ADVAN dB V551”, the YOKOHAMA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>re considered to be the standard for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685BB8">
        <w:rPr>
          <w:rFonts w:ascii="Arial" w:hAnsi="Arial" w:cs="Arial"/>
          <w:sz w:val="22"/>
          <w:szCs w:val="22"/>
          <w:lang w:val="en-GB"/>
        </w:rPr>
        <w:t>re mass.</w:t>
      </w:r>
    </w:p>
    <w:p w:rsidR="00685BB8" w:rsidRDefault="00685BB8" w:rsidP="00685BB8">
      <w:pPr>
        <w:rPr>
          <w:rFonts w:ascii="Arial" w:hAnsi="Arial" w:cs="Arial"/>
          <w:sz w:val="22"/>
          <w:szCs w:val="22"/>
          <w:lang w:val="en-GB"/>
        </w:rPr>
      </w:pPr>
    </w:p>
    <w:p w:rsidR="00685BB8" w:rsidRDefault="00D26DDE" w:rsidP="00D26DDE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45D202AF" wp14:editId="1C8FD602">
            <wp:extent cx="2868688" cy="40576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3728" cy="406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DE" w:rsidRDefault="00D26DDE" w:rsidP="00D26DDE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D26DDE">
        <w:rPr>
          <w:rFonts w:ascii="Arial" w:hAnsi="Arial" w:cs="Arial"/>
          <w:i/>
          <w:sz w:val="16"/>
          <w:szCs w:val="16"/>
          <w:lang w:val="en-GB"/>
        </w:rPr>
        <w:t>BluEarth</w:t>
      </w:r>
      <w:proofErr w:type="spellEnd"/>
      <w:r w:rsidRPr="00D26DDE">
        <w:rPr>
          <w:rFonts w:ascii="Arial" w:hAnsi="Arial" w:cs="Arial"/>
          <w:i/>
          <w:sz w:val="16"/>
          <w:szCs w:val="16"/>
          <w:lang w:val="en-GB"/>
        </w:rPr>
        <w:t>-air EF21</w:t>
      </w:r>
    </w:p>
    <w:p w:rsidR="00D26DDE" w:rsidRDefault="00D26DDE" w:rsidP="00D26DDE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26DDE" w:rsidRDefault="00D26DDE" w:rsidP="00D26DDE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26DDE" w:rsidRDefault="00D26DDE" w:rsidP="00D26DDE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26DDE" w:rsidRDefault="00D26DDE" w:rsidP="00D26DDE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26DDE" w:rsidRDefault="00D26DDE" w:rsidP="00D26DDE">
      <w:pPr>
        <w:pStyle w:val="berschrift5"/>
        <w:rPr>
          <w:sz w:val="20"/>
          <w:szCs w:val="20"/>
        </w:rPr>
      </w:pPr>
      <w:r>
        <w:t xml:space="preserve">Lightweight Design Technology </w:t>
      </w:r>
    </w:p>
    <w:p w:rsidR="00D26DDE" w:rsidRDefault="00D26DDE" w:rsidP="00D26DDE">
      <w:r>
        <w:rPr>
          <w:noProof/>
        </w:rPr>
        <w:drawing>
          <wp:inline distT="0" distB="0" distL="0" distR="0">
            <wp:extent cx="5760720" cy="3624580"/>
            <wp:effectExtent l="0" t="0" r="0" b="0"/>
            <wp:docPr id="6" name="Grafik 6" descr="https://www.y-yokohama.com/release/low/2019030519tr0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-yokohama.com/release/low/2019030519tr001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E" w:rsidRPr="00D26DDE" w:rsidRDefault="00D26DDE" w:rsidP="00D26DDE">
      <w:pPr>
        <w:pStyle w:val="berschrift5"/>
        <w:rPr>
          <w:lang w:val="en-GB"/>
        </w:rPr>
      </w:pPr>
      <w:r w:rsidRPr="00D26DDE">
        <w:rPr>
          <w:lang w:val="en-GB"/>
        </w:rPr>
        <w:t xml:space="preserve">Keys to Fuel Efficiency and High Wet Performance </w:t>
      </w:r>
    </w:p>
    <w:p w:rsidR="00D26DDE" w:rsidRDefault="00D26DDE" w:rsidP="00D26DDE">
      <w:pPr>
        <w:rPr>
          <w:noProof/>
        </w:rPr>
      </w:pPr>
      <w:r>
        <w:rPr>
          <w:noProof/>
        </w:rPr>
        <w:drawing>
          <wp:inline distT="0" distB="0" distL="0" distR="0">
            <wp:extent cx="5760720" cy="4014470"/>
            <wp:effectExtent l="0" t="0" r="0" b="0"/>
            <wp:docPr id="5" name="Grafik 5" descr="https://www.y-yokohama.com/release/low/2019030519tr0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y-yokohama.com/release/low/2019030519tr001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E" w:rsidRPr="00D26DDE" w:rsidRDefault="00D26DDE" w:rsidP="00D26DDE"/>
    <w:p w:rsidR="00D26DDE" w:rsidRDefault="00D26DDE" w:rsidP="00D26DDE">
      <w:pPr>
        <w:rPr>
          <w:noProof/>
        </w:rPr>
      </w:pPr>
    </w:p>
    <w:p w:rsidR="00D26DDE" w:rsidRDefault="00D26DDE" w:rsidP="00D26DDE">
      <w:pPr>
        <w:tabs>
          <w:tab w:val="left" w:pos="1410"/>
        </w:tabs>
      </w:pPr>
      <w:r>
        <w:tab/>
      </w:r>
    </w:p>
    <w:p w:rsidR="00D26DDE" w:rsidRDefault="00D26DDE" w:rsidP="00D26DDE">
      <w:pPr>
        <w:tabs>
          <w:tab w:val="left" w:pos="1410"/>
        </w:tabs>
      </w:pPr>
    </w:p>
    <w:p w:rsidR="00D26DDE" w:rsidRPr="00D26DDE" w:rsidRDefault="00D26DDE" w:rsidP="00D26DDE">
      <w:pPr>
        <w:tabs>
          <w:tab w:val="left" w:pos="1410"/>
        </w:tabs>
      </w:pPr>
    </w:p>
    <w:p w:rsidR="00D26DDE" w:rsidRDefault="00D26DDE" w:rsidP="00D26DDE">
      <w:pPr>
        <w:rPr>
          <w:noProof/>
        </w:rPr>
      </w:pPr>
      <w:r>
        <w:rPr>
          <w:noProof/>
        </w:rPr>
        <w:drawing>
          <wp:inline distT="0" distB="0" distL="0" distR="0">
            <wp:extent cx="5760720" cy="7364730"/>
            <wp:effectExtent l="0" t="0" r="0" b="0"/>
            <wp:docPr id="4" name="Grafik 4" descr="https://www.y-yokohama.com/release/low/2019030519tr00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y-yokohama.com/release/low/2019030519tr001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E" w:rsidRPr="00D26DDE" w:rsidRDefault="00D26DDE" w:rsidP="00D26DDE"/>
    <w:p w:rsidR="00D26DDE" w:rsidRPr="00D26DDE" w:rsidRDefault="00D26DDE" w:rsidP="00D26DDE"/>
    <w:p w:rsidR="00D26DDE" w:rsidRPr="00D26DDE" w:rsidRDefault="00D26DDE" w:rsidP="00D26DDE"/>
    <w:p w:rsidR="00D26DDE" w:rsidRDefault="00D26DDE" w:rsidP="00D26DDE">
      <w:pPr>
        <w:rPr>
          <w:noProof/>
        </w:rPr>
      </w:pPr>
    </w:p>
    <w:p w:rsidR="00D26DDE" w:rsidRDefault="00D26DDE" w:rsidP="00D26DDE">
      <w:pPr>
        <w:rPr>
          <w:noProof/>
        </w:rPr>
      </w:pPr>
    </w:p>
    <w:p w:rsidR="00D26DDE" w:rsidRDefault="00D26DDE" w:rsidP="00D26DDE">
      <w:pPr>
        <w:tabs>
          <w:tab w:val="left" w:pos="1980"/>
        </w:tabs>
      </w:pPr>
      <w:r>
        <w:tab/>
      </w:r>
    </w:p>
    <w:p w:rsidR="00D26DDE" w:rsidRDefault="00D26DDE" w:rsidP="00D26DDE">
      <w:pPr>
        <w:tabs>
          <w:tab w:val="left" w:pos="1980"/>
        </w:tabs>
      </w:pPr>
    </w:p>
    <w:p w:rsidR="00D26DDE" w:rsidRPr="00D26DDE" w:rsidRDefault="00D26DDE" w:rsidP="00D26DDE">
      <w:pPr>
        <w:tabs>
          <w:tab w:val="left" w:pos="1980"/>
        </w:tabs>
      </w:pPr>
      <w:bookmarkStart w:id="0" w:name="_GoBack"/>
      <w:bookmarkEnd w:id="0"/>
    </w:p>
    <w:p w:rsidR="00D26DDE" w:rsidRPr="00D26DDE" w:rsidRDefault="00D26DDE" w:rsidP="00D26DDE">
      <w:pPr>
        <w:pStyle w:val="berschrift5"/>
        <w:rPr>
          <w:lang w:val="en-GB"/>
        </w:rPr>
      </w:pPr>
      <w:r w:rsidRPr="00D26DDE">
        <w:rPr>
          <w:lang w:val="en-GB"/>
        </w:rPr>
        <w:t>Application of YOKOHAMA’s State-of-the-art Technologies</w:t>
      </w:r>
    </w:p>
    <w:p w:rsidR="00D26DDE" w:rsidRDefault="00D26DDE" w:rsidP="00D26DDE">
      <w:r>
        <w:rPr>
          <w:noProof/>
        </w:rPr>
        <w:drawing>
          <wp:inline distT="0" distB="0" distL="0" distR="0">
            <wp:extent cx="5760720" cy="7418070"/>
            <wp:effectExtent l="0" t="0" r="0" b="0"/>
            <wp:docPr id="3" name="Grafik 3" descr="https://www.y-yokohama.com/release/low/2019030519tr00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y-yokohama.com/release/low/2019030519tr001_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DE" w:rsidRPr="00D26DDE" w:rsidRDefault="00D26DDE" w:rsidP="00D26DDE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sectPr w:rsidR="00D26DDE" w:rsidRPr="00D26DDE" w:rsidSect="00C22B32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411DC5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1DC5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5BB8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26DDE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C37F971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6D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6DD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6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5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25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8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299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96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78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703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38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794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83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2019-03-05T15:09:00Z</dcterms:created>
  <dcterms:modified xsi:type="dcterms:W3CDTF">2019-03-05T15:13:00Z</dcterms:modified>
</cp:coreProperties>
</file>